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fae04f482754cd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36707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CERNIK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1.644.729,76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1.230.932,93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806.123,68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1.040.598,89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838.606,08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190.334,04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711.883,20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752.228,46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687.075,92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748.813,93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905.857,22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900.002,84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151.530,16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341.522,95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225,4</w:t>
            </w:r>
          </w:p>
        </w:tc>
      </w:tr>
    </w:tbl>
    <w:p>
      <w:pPr>
        <w:spacing w:before="0" w:after="0"/>
      </w:pPr>
    </w:p>
    <w:p>
      <w:pPr>
        <w:jc w:val="both"/>
        <w:pStyle w:val="Normal"/>
        <w:spacing w:line="240" w:lineRule="auto"/>
      </w:pPr>
      <w:r>
        <w:rPr>
          <w:sz w:val="24"/>
          <w:rFonts w:ascii="Times New Roman" w:hAnsi="Times New Roman"/>
        </w:rPr>
        <w:t>Ukupno ostvareni prihodi poslovanja manji su za 413.796,83 eura. u prethodnoj godini više su ostvarene tekuće i kapitalne pomoći iz državnog proračuna koje su se odnosile na sanaciju štete na stambenim objektima, provedbu kapitalnih projekata i provedbu projekta Zaželi. Rashodi poslovanja veći su za 234.475,21 euro, a u najveći mjeri se odnose na povećanje rashoda za zaposlene zbog projekta Zaželi te na materijalne rashode za provedbu projekta. Prihodi od prodaje nefinancijske imovine manji su u odnosu na prethodnu godinu u kojoj je realizirana prodaja zemljišta, dok su rashodi za nabavu nefinancijske imovine u manjoj mjeri povećani u odnosu na prethodnu godinu, a odnose se na nastavak provedbe projekta za Poljoprivredno poduzetnički inkubator. Primici od financijske imovine znato su veći u odnosu na prošlu godinu, a odnose se na kreditnu obvezu prema HBOR-u za Poljoprivredno poduzetnički inkubator i podizanje kratkoročnog kredita za namirenje dospjelih obveza.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1.644.729,76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1.230.932,93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w:t>
            </w:r>
          </w:p>
        </w:tc>
      </w:tr>
    </w:tbl>
    <w:p>
      <w:pPr>
        <w:spacing w:before="0" w:after="0"/>
      </w:pPr>
    </w:p>
    <w:p>
      <w:pPr>
        <w:jc w:val="both"/>
        <w:pStyle w:val="Normal"/>
        <w:spacing w:line="240" w:lineRule="auto"/>
      </w:pPr>
      <w:r>
        <w:rPr>
          <w:sz w:val="24"/>
          <w:rFonts w:ascii="Times New Roman" w:hAnsi="Times New Roman"/>
        </w:rPr>
        <w:t>Ukupno ostvareni prihodi poslovanja manji su za 413.796,83 eura. U prethodnoj godini više su ostvarene tekuće i kapitalne pomoći iz državnog proračuna koje su se odnosile na sanaciju štete na stambenim objektima, provedbu kapitalnih projekata i provedbu projekta Zaželi</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w:t>
            </w:r>
          </w:p>
        </w:tc>
      </w:tr>
    </w:tbl>
    <w:p>
      <w:pPr>
        <w:spacing w:before="0" w:after="0"/>
      </w:pPr>
    </w:p>
    <w:p>
      <w:pPr>
        <w:jc w:val="both"/>
        <w:pStyle w:val="Normal"/>
        <w:spacing w:line="240" w:lineRule="auto"/>
      </w:pPr>
      <w:r>
        <w:rPr>
          <w:sz w:val="24"/>
          <w:rFonts w:ascii="Times New Roman" w:hAnsi="Times New Roman"/>
        </w:rPr>
        <w:t>Manje ostvarenje poreza na imovinu odnosi se na manje ostvarene prihode od poreza na promet nekretnina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501.518,57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pPr>
        <w:jc w:val="both"/>
        <w:pStyle w:val="Normal"/>
        <w:spacing w:line="240" w:lineRule="auto"/>
      </w:pPr>
      <w:r>
        <w:rPr>
          <w:sz w:val="24"/>
          <w:rFonts w:ascii="Times New Roman" w:hAnsi="Times New Roman"/>
        </w:rPr>
        <w:t>Značajni pad ostvarenja prihoda od tekućih pomoći proračunu iz drugih proračuna odnosi se na promjenu u načinu knjiženja pomoći za sredstva fiskalnog izravnanja koji se u tekućoj godini knjiže na račun 6353. Također, u prethodnoj godini Općina je dobila pomoć za sanaciju štete na stambenim objektima i pomoć za funkcionalno spajanje općina.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332.127,00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prethodnoj godini pomoći fiskalnog izravnanja knjiženi su na tekuće pomoći na račun 6331.</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232.730,88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od pomoći temeljem prijenosa EU sredstava odnose se na pomoći za provođenje programa Zaželi koji su u prethodnoj godini knjiženi na tekuće pomoći iz proračuna.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50.053,32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429,0</w:t>
            </w:r>
          </w:p>
        </w:tc>
      </w:tr>
    </w:tbl>
    <w:p>
      <w:pPr>
        <w:spacing w:before="0" w:after="0"/>
      </w:pPr>
    </w:p>
    <w:p>
      <w:pPr>
        <w:jc w:val="both"/>
        <w:pStyle w:val="Normal"/>
        <w:spacing w:line="240" w:lineRule="auto"/>
      </w:pPr>
      <w:r>
        <w:rPr>
          <w:sz w:val="24"/>
          <w:rFonts w:ascii="Times New Roman" w:hAnsi="Times New Roman"/>
        </w:rPr>
        <w:t>Povećanje prihoda odnosi se na povećan priljev od naknade za eksploataciju mineralnih sirovina.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63.077,62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124.896,01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w:t>
            </w:r>
          </w:p>
        </w:tc>
      </w:tr>
    </w:tbl>
    <w:p>
      <w:pPr>
        <w:spacing w:before="0" w:after="0"/>
      </w:pPr>
    </w:p>
    <w:p>
      <w:pPr>
        <w:jc w:val="both"/>
        <w:pStyle w:val="Normal"/>
        <w:spacing w:line="240" w:lineRule="auto"/>
      </w:pPr>
      <w:r>
        <w:rPr>
          <w:sz w:val="24"/>
          <w:rFonts w:ascii="Times New Roman" w:hAnsi="Times New Roman"/>
        </w:rPr>
        <w:t>Prihodi od šumskog doprinosa su značajno povećani zbog veće eksploatacije drveća u prvom kvartalu 2025. godine.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133.634,99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345.697,57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w:t>
            </w:r>
          </w:p>
        </w:tc>
      </w:tr>
    </w:tbl>
    <w:p>
      <w:pPr>
        <w:spacing w:before="0" w:after="0"/>
      </w:pPr>
    </w:p>
    <w:p>
      <w:pPr>
        <w:jc w:val="both"/>
        <w:pStyle w:val="Normal"/>
        <w:spacing w:line="240" w:lineRule="auto"/>
      </w:pPr>
      <w:r>
        <w:rPr>
          <w:sz w:val="24"/>
          <w:rFonts w:ascii="Times New Roman" w:hAnsi="Times New Roman"/>
        </w:rPr>
        <w:t>Povećanje rashoda za zaposlene bilježi se zbog provođenja projekta Zaželi.</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397,1</w:t>
            </w:r>
          </w:p>
        </w:tc>
      </w:tr>
    </w:tbl>
    <w:p>
      <w:pPr>
        <w:spacing w:before="0" w:after="0"/>
      </w:pPr>
    </w:p>
    <w:p>
      <w:pPr>
        <w:jc w:val="both"/>
        <w:pStyle w:val="Normal"/>
        <w:spacing w:line="240" w:lineRule="auto"/>
      </w:pPr>
      <w:r>
        <w:rPr>
          <w:sz w:val="24"/>
          <w:rFonts w:ascii="Times New Roman" w:hAnsi="Times New Roman"/>
        </w:rPr>
        <w:t>Povećanje materijalnih rashoda se u najvećoj mjeri odnosi na povećanje materijala i sredstava za čišćenje i održavanje koji je nabavljen u sklopu projekta Zaželi.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25.354,41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72.917,58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287,6</w:t>
            </w:r>
          </w:p>
        </w:tc>
      </w:tr>
    </w:tbl>
    <w:p>
      <w:pPr>
        <w:spacing w:before="0" w:after="0"/>
      </w:pPr>
    </w:p>
    <w:p>
      <w:pPr>
        <w:jc w:val="both"/>
        <w:pStyle w:val="Normal"/>
        <w:spacing w:line="240" w:lineRule="auto"/>
      </w:pPr>
      <w:r>
        <w:rPr>
          <w:sz w:val="24"/>
          <w:rFonts w:ascii="Times New Roman" w:hAnsi="Times New Roman"/>
        </w:rPr>
        <w:t>Povećani rashodi za intelektualne usluge odnose se na povećanje rashoda za geodetsko- katastarske usluge i na usluge knjigovodstvenog servisa zbog odsustva djelatnika na računovodstvenim poslovima.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w:t>
            </w:r>
          </w:p>
        </w:tc>
      </w:tr>
    </w:tbl>
    <w:p>
      <w:pPr>
        <w:spacing w:before="0" w:after="0"/>
      </w:pPr>
    </w:p>
    <w:p>
      <w:pPr>
        <w:jc w:val="both"/>
        <w:pStyle w:val="Normal"/>
        <w:spacing w:line="240" w:lineRule="auto"/>
      </w:pPr>
      <w:r>
        <w:rPr>
          <w:sz w:val="24"/>
          <w:rFonts w:ascii="Times New Roman" w:hAnsi="Times New Roman"/>
        </w:rPr>
        <w:t>Rashodi za računalne usluge odnose se na održavanje software-a i redovno održavanje računalnih programa.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28.710,55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1061,1</w:t>
            </w:r>
          </w:p>
        </w:tc>
      </w:tr>
    </w:tbl>
    <w:p>
      <w:pPr>
        <w:spacing w:before="0" w:after="0"/>
      </w:pPr>
    </w:p>
    <w:p>
      <w:pPr>
        <w:jc w:val="both"/>
        <w:pStyle w:val="Normal"/>
        <w:spacing w:line="240" w:lineRule="auto"/>
      </w:pPr>
      <w:r>
        <w:rPr>
          <w:sz w:val="24"/>
          <w:rFonts w:ascii="Times New Roman" w:hAnsi="Times New Roman"/>
        </w:rPr>
        <w:t>Povećani rashodi odnose se na rashode za naknade za provođenje lokalnih izbora.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Kamate na primljene kredite odnose se na kratkoročni kredit podignut u drugoj polovici 2024. godine.</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Ostali nespomenuti financijski rashodi odnose se na realizaciju kredita prema HBOR-u.</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43.706,82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58.066,92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w:t>
            </w:r>
          </w:p>
        </w:tc>
      </w:tr>
    </w:tbl>
    <w:p>
      <w:pPr>
        <w:spacing w:before="0" w:after="0"/>
      </w:pPr>
    </w:p>
    <w:p>
      <w:pPr>
        <w:jc w:val="both"/>
        <w:pStyle w:val="Normal"/>
        <w:spacing w:line="240" w:lineRule="auto"/>
      </w:pPr>
      <w:r>
        <w:rPr>
          <w:sz w:val="24"/>
          <w:rFonts w:ascii="Times New Roman" w:hAnsi="Times New Roman"/>
        </w:rPr>
        <w:t>Rashodi za tekuće pomoći proračunskim korisnicima drugih proračuna odnose se na transfere dječjem vrtiću drugog proračuna čiji korisnici su djeca s područja općine Cernik.</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Kapitalna pomoć dana je za pomoć za izgradnju policijske stanice.</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19.794,30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pPr>
        <w:jc w:val="both"/>
        <w:pStyle w:val="Normal"/>
        <w:spacing w:line="240" w:lineRule="auto"/>
      </w:pPr>
      <w:r>
        <w:rPr>
          <w:sz w:val="24"/>
          <w:rFonts w:ascii="Times New Roman" w:hAnsi="Times New Roman"/>
        </w:rPr>
        <w:t>Povećanje se odnosi na dane prigodne darove za mještane.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73.930,93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prethodnom razdoblju isplaćivale su se naknade za štete uslijed elementarne nepogodne. Navedenog rashoda u tekućem razdoblju nije bilo.</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75.259,82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514.715,74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683,9</w:t>
            </w:r>
          </w:p>
        </w:tc>
      </w:tr>
    </w:tbl>
    <w:p>
      <w:pPr>
        <w:spacing w:before="0" w:after="0"/>
      </w:pPr>
    </w:p>
    <w:p>
      <w:pPr>
        <w:jc w:val="both"/>
        <w:pStyle w:val="Normal"/>
        <w:spacing w:line="240" w:lineRule="auto"/>
      </w:pPr>
      <w:r>
        <w:rPr>
          <w:sz w:val="24"/>
          <w:rFonts w:ascii="Times New Roman" w:hAnsi="Times New Roman"/>
        </w:rPr>
        <w:t>Povećanje za nenaplaćene prihode poslovanja u najvećoj mjeri odnosi se na zaduženje za pomoći fiskalnog izravnanja.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24.807,28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w:t>
            </w:r>
          </w:p>
        </w:tc>
      </w:tr>
    </w:tbl>
    <w:p>
      <w:pPr>
        <w:spacing w:before="0" w:after="0"/>
      </w:pPr>
    </w:p>
    <w:p>
      <w:pPr>
        <w:jc w:val="both"/>
        <w:pStyle w:val="Normal"/>
        <w:spacing w:line="240" w:lineRule="auto"/>
      </w:pPr>
      <w:r>
        <w:rPr>
          <w:sz w:val="24"/>
          <w:rFonts w:ascii="Times New Roman" w:hAnsi="Times New Roman"/>
        </w:rPr>
        <w:t>U prethodnom razdoblju ostvarena je prodaja zemljišta koja u tekućem razdoblju nije realizirana.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54.420,30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Povećanje se odnosi na nabavu aplikacijskoj sustava za vođenje prostornih podataka.</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164.455,62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657.265,53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399,7</w:t>
            </w:r>
          </w:p>
        </w:tc>
      </w:tr>
    </w:tbl>
    <w:p>
      <w:pPr>
        <w:spacing w:before="0" w:after="0"/>
      </w:pPr>
    </w:p>
    <w:p>
      <w:pPr>
        <w:jc w:val="both"/>
        <w:pStyle w:val="Normal"/>
        <w:spacing w:line="240" w:lineRule="auto"/>
      </w:pPr>
      <w:r>
        <w:rPr>
          <w:sz w:val="24"/>
          <w:rFonts w:ascii="Times New Roman" w:hAnsi="Times New Roman"/>
        </w:rPr>
        <w:t>U okviru prenesenog rezultata izvršeni su ispravci rezultata na računima 92214, 92224 i 92225 za pogrešna knjiženja u prethodnim godinama, odnosno za isplate koje nisu zadužene u prethodnim godinama u ukupnom iznosu od 40.980,24 eura.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905.857,22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na primicima od kredita odnosi se na iznos od 90.000,00 eura za kratkoročni kredit za poboljšanje likvidnosti i na iznos od 815.857,22 eura za dugoročni kredit od HBOR-a za provođenje kapitalnog projekta izgradnje poljoprivredno poduzetničkog inkubatora.</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dane zajmove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Izdatak za dani zajam odnosi se na pozajmicu trgovačkom društvu u većinskom vlasništvu općine (Cerkom d.o.o.).</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206.564,91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310.382,03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bl>
    <w:p>
      <w:pPr>
        <w:spacing w:before="0" w:after="0"/>
      </w:pPr>
    </w:p>
    <w:p>
      <w:pPr>
        <w:jc w:val="both"/>
        <w:pStyle w:val="Normal"/>
        <w:spacing w:line="240" w:lineRule="auto"/>
      </w:pPr>
      <w:r>
        <w:rPr>
          <w:sz w:val="24"/>
          <w:rFonts w:ascii="Times New Roman" w:hAnsi="Times New Roman"/>
        </w:rPr>
        <w:t>U iduće razdoblje prenosi se manjak prihoda i primitaka u ukupnom iznosu 310.382,03 eura koji se planira pokriti tekućim prihodima i refundacijom pomoći za provođenje projekata.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337.816,38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Dospjele obveze u najvećoj mjeri odnose se na plaćanje računa za nabavu nefinancijske imovine, odnosno na provedbu projekata za čije podmirenje je zbog nedostatka likvidnosti dignut kratkoročni kredit, te na plaćanje obveza za materijalne rashode koje u najvećoj mjeri čine rashodi za tekuće održavanje.</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Ukupno obveze za rashode poslovanja (šifre D231+D232+D234+D235+D236+D237+D 238+D239)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145.388,51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materijalne rashode u najvećoj mjeri čine obveze za rashode za tekuće i investicijsko održavanje koje zbog nedostatka likvidnosti nisu podmirene.</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D24A do D24D)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192.427,87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nabavu nefinancijske imovine odnose se na provedbu projekata za čije podmirenje je djelomično podignut kratkoročni kredit, a djelomično će se financirati iz kredita HBOR-a.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94.529,52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za rashode poslovanja u najvećoj mjeri čine obveze za isplatu plaće za lipanj.</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1.113.173,04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financijsku imovinu čine obveze za kratkoročni kredit podignut u drugoj polovici 2024. godine, obveze za kredit HBOR-a i obveze za kratkoročni kredit podignut u tekućem razdoblju koje su sve nedospjele.</w:t>
      </w:r>
    </w:p>
    <w:p/>
    <w:p>
      <w:pPr>
        <w:jc w:val="center"/>
        <w:pStyle w:val="Normal"/>
        <w:spacing w:line="240" w:lineRule="auto"/>
        <w:keepNext/>
      </w:pPr>
      <w:r>
        <w:rPr>
          <w:sz w:val="28"/>
          <w:rFonts w:ascii="Times New Roman" w:hAnsi="Times New Roman"/>
        </w:rPr>
        <w:t>Bilješka 32.</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Općina Cernik nema proračunskog korisnika i time nema unutargrupnih transakcija potrebnih za eliminiranje.</w:t>
      </w:r>
    </w:p>
    <w:p/>
    <w:p>
      <w:pPr>
        <w:jc w:val="center"/>
        <w:pStyle w:val="Normal"/>
        <w:spacing w:line="240" w:lineRule="auto"/>
        <w:keepNext/>
      </w:pPr>
      <w:r>
        <w:rPr>
          <w:sz w:val="28"/>
          <w:rFonts w:ascii="Times New Roman" w:hAnsi="Times New Roman"/>
        </w:rPr>
        <w:t>Bilješka 33.</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U iduće razdoblje prenosi se manjak prihoda i primitaka u ukupnom iznosu 310.382,03 eura koji se planira pokriti tekućim prihodima i refundacijom pomoći za provođenje projekata.
Općina Cernik nema proračunskog korisnika i ukupni rezultat Općine je isključivo rezultat razine 22.</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160ac92029a449b" /></Relationships>
</file>